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C2361A"/>
          <w:sz w:val="38"/>
        </w:rPr>
        <w:t>CINDRASEC</w:t>
      </w:r>
    </w:p>
    <w:p>
      <w:pPr>
        <w:spacing w:after="40"/>
        <w:jc w:val="center"/>
      </w:pPr>
      <w:r>
        <w:rPr>
          <w:b/>
          <w:i w:val="0"/>
          <w:color w:val="1F252D"/>
          <w:sz w:val="24"/>
        </w:rPr>
        <w:t>Rules of Engagement &amp; Authorization to Test</w:t>
      </w:r>
    </w:p>
    <w:p>
      <w:pPr>
        <w:spacing w:after="120"/>
        <w:jc w:val="center"/>
      </w:pPr>
      <w:r>
        <w:rPr>
          <w:b w:val="0"/>
          <w:i/>
          <w:color w:val="555B63"/>
          <w:sz w:val="17"/>
        </w:rPr>
        <w:t>security assessment agreement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BF0EC"/>
          </w:tcPr>
          <w:p>
            <w:pPr>
              <w:spacing w:after="40"/>
            </w:pPr>
            <w:r/>
            <w:r>
              <w:rPr>
                <w:b/>
                <w:color w:val="C2361A"/>
                <w:sz w:val="20"/>
              </w:rPr>
              <w:t xml:space="preserve">In one line:  </w:t>
            </w:r>
            <w:r>
              <w:rPr>
                <w:sz w:val="20"/>
              </w:rPr>
              <w:t>you authorize Cindrasec to safely test only the systems you list below, during the agreed window. Nothing is scanned until both parties sign.</w:t>
            </w:r>
          </w:p>
          <w:p>
            <w:pPr>
              <w:spacing w:after="20"/>
            </w:pPr>
            <w:r>
              <w:rPr>
                <w:color w:val="1F252D"/>
                <w:sz w:val="19"/>
              </w:rPr>
              <w:t>✓  Passive-first — your systems are not modified or taken offline.</w:t>
            </w:r>
          </w:p>
          <w:p>
            <w:pPr>
              <w:spacing w:after="20"/>
            </w:pPr>
            <w:r>
              <w:rPr>
                <w:color w:val="1F252D"/>
                <w:sz w:val="19"/>
              </w:rPr>
              <w:t>✓  Findings are confidential and go only to the person you name.</w:t>
            </w:r>
          </w:p>
          <w:p>
            <w:pPr>
              <w:spacing w:after="20"/>
            </w:pPr>
            <w:r>
              <w:rPr>
                <w:color w:val="1F252D"/>
                <w:sz w:val="19"/>
              </w:rPr>
              <w:t>✓  You can revoke this permission in writing at any time — testing stops at once.</w:t>
            </w:r>
          </w:p>
          <w:p>
            <w:r>
              <w:rPr>
                <w:i/>
                <w:color w:val="555B63"/>
                <w:sz w:val="18"/>
              </w:rPr>
              <w:t>স্বাক্ষর ছাড়া কোনো স্ক্যান নয়। অনুমতি লিখিতভাবে যেকোনো সময় প্রত্যাহারযোগ্য — প্রত্যাহারেই টেস্টিং বন্ধ।</w:t>
            </w:r>
          </w:p>
        </w:tc>
      </w:tr>
    </w:tbl>
    <w:p>
      <w:pPr>
        <w:spacing w:before="160" w:after="60"/>
      </w:pPr>
      <w:r>
        <w:rPr>
          <w:b/>
          <w:color w:val="C2361A"/>
          <w:sz w:val="23"/>
        </w:rPr>
        <w:t>1.  Engagement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66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Reference</w:t>
            </w:r>
          </w:p>
        </w:tc>
        <w:tc>
          <w:tcPr>
            <w:tcW w:type="dxa" w:w="7416"/>
          </w:tcPr>
          <w:p>
            <w:pPr>
              <w:spacing w:after="20"/>
            </w:pPr>
            <w:r/>
            <w:r>
              <w:rPr>
                <w:sz w:val="19"/>
              </w:rPr>
              <w:t>CS-AUTH-[YYYY-MM-NNN]          RoE version 3.0</w:t>
            </w:r>
          </w:p>
        </w:tc>
      </w:tr>
      <w:tr>
        <w:tc>
          <w:tcPr>
            <w:tcW w:type="dxa" w:w="266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Client (company / person)</w:t>
            </w:r>
          </w:p>
        </w:tc>
        <w:tc>
          <w:tcPr>
            <w:tcW w:type="dxa" w:w="7416"/>
          </w:tcPr>
          <w:p>
            <w:pPr>
              <w:spacing w:after="20"/>
            </w:pPr>
            <w:r/>
            <w:r>
              <w:rPr>
                <w:sz w:val="19"/>
              </w:rPr>
              <w:t>__________________________________________</w:t>
            </w:r>
          </w:p>
        </w:tc>
      </w:tr>
      <w:tr>
        <w:tc>
          <w:tcPr>
            <w:tcW w:type="dxa" w:w="266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Authorized signatory</w:t>
            </w:r>
          </w:p>
        </w:tc>
        <w:tc>
          <w:tcPr>
            <w:tcW w:type="dxa" w:w="7416"/>
          </w:tcPr>
          <w:p>
            <w:pPr>
              <w:spacing w:after="20"/>
            </w:pPr>
            <w:r/>
            <w:r>
              <w:rPr>
                <w:sz w:val="19"/>
              </w:rPr>
              <w:t>Name ________________   Title ________________</w:t>
            </w:r>
          </w:p>
        </w:tc>
      </w:tr>
      <w:tr>
        <w:tc>
          <w:tcPr>
            <w:tcW w:type="dxa" w:w="266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Client contact</w:t>
            </w:r>
          </w:p>
        </w:tc>
        <w:tc>
          <w:tcPr>
            <w:tcW w:type="dxa" w:w="7416"/>
          </w:tcPr>
          <w:p>
            <w:pPr>
              <w:spacing w:after="20"/>
            </w:pPr>
            <w:r/>
            <w:r>
              <w:rPr>
                <w:sz w:val="19"/>
              </w:rPr>
              <w:t>Email ________________   Phone ________________</w:t>
            </w:r>
          </w:p>
        </w:tc>
      </w:tr>
      <w:tr>
        <w:tc>
          <w:tcPr>
            <w:tcW w:type="dxa" w:w="266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Send findings only to</w:t>
            </w:r>
          </w:p>
        </w:tc>
        <w:tc>
          <w:tcPr>
            <w:tcW w:type="dxa" w:w="7416"/>
          </w:tcPr>
          <w:p>
            <w:pPr>
              <w:spacing w:after="20"/>
            </w:pPr>
            <w:r/>
            <w:r>
              <w:rPr>
                <w:sz w:val="19"/>
              </w:rPr>
              <w:t>Name ________________   Email ________________</w:t>
            </w:r>
          </w:p>
        </w:tc>
      </w:tr>
      <w:tr>
        <w:tc>
          <w:tcPr>
            <w:tcW w:type="dxa" w:w="266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Package</w:t>
            </w:r>
          </w:p>
        </w:tc>
        <w:tc>
          <w:tcPr>
            <w:tcW w:type="dxa" w:w="7416"/>
          </w:tcPr>
          <w:p>
            <w:pPr>
              <w:spacing w:after="20"/>
            </w:pPr>
            <w:r/>
            <w:r>
              <w:rPr>
                <w:sz w:val="19"/>
              </w:rPr>
              <w:t>☐ Free Pilot   ☐ Snapshot   ☐ Watch   ☐ AI/LLM   ☐ Other ______</w:t>
            </w:r>
          </w:p>
        </w:tc>
      </w:tr>
      <w:tr>
        <w:tc>
          <w:tcPr>
            <w:tcW w:type="dxa" w:w="266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Testing window</w:t>
            </w:r>
          </w:p>
        </w:tc>
        <w:tc>
          <w:tcPr>
            <w:tcW w:type="dxa" w:w="7416"/>
          </w:tcPr>
          <w:p>
            <w:pPr>
              <w:spacing w:after="20"/>
            </w:pPr>
            <w:r/>
            <w:r>
              <w:rPr>
                <w:sz w:val="19"/>
              </w:rPr>
              <w:t>________  →  ________ (date · time · timezone)   ☐ Ongoing (Watch)</w:t>
            </w:r>
          </w:p>
        </w:tc>
      </w:tr>
      <w:tr>
        <w:tc>
          <w:tcPr>
            <w:tcW w:type="dxa" w:w="266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Cindrasec source IP(s)</w:t>
            </w:r>
          </w:p>
        </w:tc>
        <w:tc>
          <w:tcPr>
            <w:tcW w:type="dxa" w:w="7416"/>
          </w:tcPr>
          <w:p>
            <w:pPr>
              <w:spacing w:after="20"/>
            </w:pPr>
            <w:r/>
            <w:r>
              <w:rPr>
                <w:sz w:val="19"/>
              </w:rPr>
              <w:t>________________________  (for your allowlisting)</w:t>
            </w:r>
          </w:p>
        </w:tc>
      </w:tr>
      <w:tr>
        <w:tc>
          <w:tcPr>
            <w:tcW w:type="dxa" w:w="266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Emergency stop</w:t>
            </w:r>
          </w:p>
        </w:tc>
        <w:tc>
          <w:tcPr>
            <w:tcW w:type="dxa" w:w="7416"/>
          </w:tcPr>
          <w:p>
            <w:pPr>
              <w:spacing w:after="20"/>
            </w:pPr>
            <w:r/>
            <w:r>
              <w:rPr>
                <w:sz w:val="19"/>
              </w:rPr>
              <w:t>Cindrasec [phone/email] ________   ·   Client ________</w:t>
            </w:r>
          </w:p>
        </w:tc>
      </w:tr>
    </w:tbl>
    <w:p>
      <w:pPr>
        <w:spacing w:before="160" w:after="60"/>
      </w:pPr>
      <w:r>
        <w:rPr>
          <w:b/>
          <w:color w:val="C2361A"/>
          <w:sz w:val="23"/>
        </w:rPr>
        <w:t>2.  Scope — the only systems that may be tested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504"/>
            <w:shd w:fill="F1F1F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#</w:t>
            </w:r>
          </w:p>
        </w:tc>
        <w:tc>
          <w:tcPr>
            <w:tcW w:type="dxa" w:w="5976"/>
            <w:shd w:fill="F1F1F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In-scope asset (domain / IP / AI system)</w:t>
            </w:r>
          </w:p>
        </w:tc>
        <w:tc>
          <w:tcPr>
            <w:tcW w:type="dxa" w:w="1872"/>
            <w:shd w:fill="F1F1F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Type</w:t>
            </w:r>
          </w:p>
        </w:tc>
        <w:tc>
          <w:tcPr>
            <w:tcW w:type="dxa" w:w="1728"/>
            <w:shd w:fill="F1F1F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Client initials</w:t>
            </w:r>
          </w:p>
        </w:tc>
      </w:tr>
      <w:tr>
        <w:tc>
          <w:tcPr>
            <w:tcW w:type="dxa" w:w="504"/>
          </w:tcPr>
          <w:p>
            <w:pPr>
              <w:spacing w:after="20"/>
            </w:pPr>
            <w:r/>
            <w:r>
              <w:rPr>
                <w:sz w:val="19"/>
              </w:rPr>
              <w:t>1</w:t>
            </w:r>
          </w:p>
        </w:tc>
        <w:tc>
          <w:tcPr>
            <w:tcW w:type="dxa" w:w="5976"/>
          </w:tcPr>
          <w:p>
            <w:pPr>
              <w:spacing w:after="20"/>
            </w:pPr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pPr>
              <w:spacing w:after="20"/>
            </w:pPr>
            <w:r/>
            <w:r>
              <w:rPr>
                <w:sz w:val="19"/>
              </w:rPr>
            </w:r>
          </w:p>
        </w:tc>
        <w:tc>
          <w:tcPr>
            <w:tcW w:type="dxa" w:w="1728"/>
          </w:tcPr>
          <w:p>
            <w:pPr>
              <w:spacing w:after="20"/>
            </w:pPr>
            <w:r/>
            <w:r>
              <w:rPr>
                <w:sz w:val="19"/>
              </w:rPr>
            </w:r>
          </w:p>
        </w:tc>
      </w:tr>
      <w:tr>
        <w:tc>
          <w:tcPr>
            <w:tcW w:type="dxa" w:w="504"/>
          </w:tcPr>
          <w:p>
            <w:pPr>
              <w:spacing w:after="20"/>
            </w:pPr>
            <w:r/>
            <w:r>
              <w:rPr>
                <w:sz w:val="19"/>
              </w:rPr>
              <w:t>2</w:t>
            </w:r>
          </w:p>
        </w:tc>
        <w:tc>
          <w:tcPr>
            <w:tcW w:type="dxa" w:w="5976"/>
          </w:tcPr>
          <w:p>
            <w:pPr>
              <w:spacing w:after="20"/>
            </w:pPr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pPr>
              <w:spacing w:after="20"/>
            </w:pPr>
            <w:r/>
            <w:r>
              <w:rPr>
                <w:sz w:val="19"/>
              </w:rPr>
            </w:r>
          </w:p>
        </w:tc>
        <w:tc>
          <w:tcPr>
            <w:tcW w:type="dxa" w:w="1728"/>
          </w:tcPr>
          <w:p>
            <w:pPr>
              <w:spacing w:after="20"/>
            </w:pPr>
            <w:r/>
            <w:r>
              <w:rPr>
                <w:sz w:val="19"/>
              </w:rPr>
            </w:r>
          </w:p>
        </w:tc>
      </w:tr>
      <w:tr>
        <w:tc>
          <w:tcPr>
            <w:tcW w:type="dxa" w:w="504"/>
          </w:tcPr>
          <w:p>
            <w:pPr>
              <w:spacing w:after="20"/>
            </w:pPr>
            <w:r/>
            <w:r>
              <w:rPr>
                <w:sz w:val="19"/>
              </w:rPr>
              <w:t>3</w:t>
            </w:r>
          </w:p>
        </w:tc>
        <w:tc>
          <w:tcPr>
            <w:tcW w:type="dxa" w:w="5976"/>
          </w:tcPr>
          <w:p>
            <w:pPr>
              <w:spacing w:after="20"/>
            </w:pPr>
            <w:r/>
            <w:r>
              <w:rPr>
                <w:sz w:val="19"/>
              </w:rPr>
            </w:r>
          </w:p>
        </w:tc>
        <w:tc>
          <w:tcPr>
            <w:tcW w:type="dxa" w:w="1872"/>
          </w:tcPr>
          <w:p>
            <w:pPr>
              <w:spacing w:after="20"/>
            </w:pPr>
            <w:r/>
            <w:r>
              <w:rPr>
                <w:sz w:val="19"/>
              </w:rPr>
            </w:r>
          </w:p>
        </w:tc>
        <w:tc>
          <w:tcPr>
            <w:tcW w:type="dxa" w:w="1728"/>
          </w:tcPr>
          <w:p>
            <w:pPr>
              <w:spacing w:after="20"/>
            </w:pPr>
            <w:r/>
            <w:r>
              <w:rPr>
                <w:sz w:val="19"/>
              </w:rPr>
            </w:r>
          </w:p>
        </w:tc>
      </w:tr>
    </w:tbl>
    <w:p>
      <w:pPr>
        <w:spacing w:after="40"/>
      </w:pPr>
      <w:r>
        <w:rPr>
          <w:b w:val="0"/>
          <w:i w:val="0"/>
          <w:sz w:val="19"/>
        </w:rPr>
        <w:t>Out of scope (default): anything not listed above · third-party infrastructure (shared hosting, SaaS, payment processors, CDNs) · physical, social-engineering &amp; phishing tests · any denial-of-service or destructive action. New assets found while testing are reported, not tested, until added here in writing (email from both contacts is enough). No verbal changes.</w:t>
      </w:r>
    </w:p>
    <w:p>
      <w:pPr>
        <w:spacing w:before="160" w:after="60"/>
      </w:pPr>
      <w:r>
        <w:rPr>
          <w:b/>
          <w:color w:val="C2361A"/>
          <w:sz w:val="23"/>
        </w:rPr>
        <w:t>3.  Rules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4968"/>
            <w:shd w:fill="F1F1F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Authorized</w:t>
            </w:r>
          </w:p>
        </w:tc>
        <w:tc>
          <w:tcPr>
            <w:tcW w:type="dxa" w:w="5112"/>
            <w:shd w:fill="F1F1F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Not permitted without separate written consent</w:t>
            </w:r>
          </w:p>
        </w:tc>
      </w:tr>
      <w:tr>
        <w:tc>
          <w:tcPr>
            <w:tcW w:type="dxa" w:w="4968"/>
          </w:tcPr>
          <w:p>
            <w:pPr>
              <w:spacing w:after="20"/>
            </w:pPr>
            <w:r/>
            <w:r>
              <w:rPr>
                <w:sz w:val="19"/>
              </w:rPr>
              <w:t>Passive recon &amp; discovery (DNS, certificate transparency, OSINT)</w:t>
            </w:r>
          </w:p>
        </w:tc>
        <w:tc>
          <w:tcPr>
            <w:tcW w:type="dxa" w:w="5112"/>
          </w:tcPr>
          <w:p>
            <w:pPr>
              <w:spacing w:after="20"/>
            </w:pPr>
            <w:r/>
            <w:r>
              <w:rPr>
                <w:sz w:val="19"/>
              </w:rPr>
              <w:t>Active exploitation — RCE, privilege escalation, lateral movement</w:t>
            </w:r>
          </w:p>
        </w:tc>
      </w:tr>
      <w:tr>
        <w:tc>
          <w:tcPr>
            <w:tcW w:type="dxa" w:w="4968"/>
          </w:tcPr>
          <w:p>
            <w:pPr>
              <w:spacing w:after="20"/>
            </w:pPr>
            <w:r/>
            <w:r>
              <w:rPr>
                <w:sz w:val="19"/>
              </w:rPr>
              <w:t>Detecting exposed secrets, credentials &amp; misconfigurations</w:t>
            </w:r>
          </w:p>
        </w:tc>
        <w:tc>
          <w:tcPr>
            <w:tcW w:type="dxa" w:w="5112"/>
          </w:tcPr>
          <w:p>
            <w:pPr>
              <w:spacing w:after="20"/>
            </w:pPr>
            <w:r/>
            <w:r>
              <w:rPr>
                <w:sz w:val="19"/>
              </w:rPr>
              <w:t>Data exfiltration beyond a minimal proof; changing or deleting your data</w:t>
            </w:r>
          </w:p>
        </w:tc>
      </w:tr>
      <w:tr>
        <w:tc>
          <w:tcPr>
            <w:tcW w:type="dxa" w:w="4968"/>
          </w:tcPr>
          <w:p>
            <w:pPr>
              <w:spacing w:after="20"/>
            </w:pPr>
            <w:r/>
            <w:r>
              <w:rPr>
                <w:sz w:val="19"/>
              </w:rPr>
              <w:t>Minimal verification: one minimum-necessary metadata call to a provider to confirm a found credential is live — nothing more</w:t>
            </w:r>
          </w:p>
        </w:tc>
        <w:tc>
          <w:tcPr>
            <w:tcW w:type="dxa" w:w="5112"/>
          </w:tcPr>
          <w:p>
            <w:pPr>
              <w:spacing w:after="20"/>
            </w:pPr>
            <w:r/>
            <w:r>
              <w:rPr>
                <w:sz w:val="19"/>
              </w:rPr>
              <w:t>Denial-of-service, load / stress testing, breaking rate limits</w:t>
            </w:r>
          </w:p>
        </w:tc>
      </w:tr>
      <w:tr>
        <w:tc>
          <w:tcPr>
            <w:tcW w:type="dxa" w:w="4968"/>
          </w:tcPr>
          <w:p>
            <w:pPr>
              <w:spacing w:after="20"/>
            </w:pPr>
            <w:r/>
            <w:r>
              <w:rPr>
                <w:sz w:val="19"/>
              </w:rPr>
              <w:t>Throttled automated scanning (≈ 2 requests/second per host)</w:t>
            </w:r>
          </w:p>
        </w:tc>
        <w:tc>
          <w:tcPr>
            <w:tcW w:type="dxa" w:w="5112"/>
          </w:tcPr>
          <w:p>
            <w:pPr>
              <w:spacing w:after="20"/>
            </w:pPr>
            <w:r/>
            <w:r>
              <w:rPr>
                <w:sz w:val="19"/>
              </w:rPr>
              <w:t>Taking over real user accounts or accessing real user data</w:t>
            </w:r>
          </w:p>
        </w:tc>
      </w:tr>
      <w:tr>
        <w:tc>
          <w:tcPr>
            <w:tcW w:type="dxa" w:w="4968"/>
          </w:tcPr>
          <w:p>
            <w:pPr>
              <w:spacing w:after="20"/>
            </w:pPr>
            <w:r/>
            <w:r>
              <w:rPr>
                <w:sz w:val="19"/>
              </w:rPr>
              <w:t>AI/LLM package: prompt-injection, jailbreak, data-leak &amp; agent-abuse tests on the listed AI systems, using test accounts only</w:t>
            </w:r>
          </w:p>
        </w:tc>
        <w:tc>
          <w:tcPr>
            <w:tcW w:type="dxa" w:w="5112"/>
          </w:tcPr>
          <w:p>
            <w:pPr>
              <w:spacing w:after="20"/>
            </w:pPr>
            <w:r/>
            <w:r>
              <w:rPr>
                <w:sz w:val="19"/>
              </w:rPr>
              <w:t>Physical access, social engineering, phishing; testing other tenants or the model provider</w:t>
            </w:r>
          </w:p>
        </w:tc>
      </w:tr>
    </w:tbl>
    <w:p>
      <w:pPr>
        <w:spacing w:before="160" w:after="60"/>
      </w:pPr>
      <w:r>
        <w:rPr>
          <w:b/>
          <w:color w:val="C2361A"/>
          <w:sz w:val="23"/>
        </w:rPr>
        <w:t>4.  Key terms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194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Data</w:t>
            </w:r>
          </w:p>
        </w:tc>
        <w:tc>
          <w:tcPr>
            <w:tcW w:type="dxa" w:w="8136"/>
          </w:tcPr>
          <w:p>
            <w:pPr>
              <w:spacing w:after="20"/>
            </w:pPr>
            <w:r/>
            <w:r>
              <w:rPr>
                <w:sz w:val="19"/>
              </w:rPr>
              <w:t>Encrypted on Cindrasec self-hosted infrastructure; credentials redacted in reports; raw data auto-deleted 30 days after delivery, or sooner on written request.</w:t>
            </w:r>
          </w:p>
        </w:tc>
      </w:tr>
      <w:tr>
        <w:tc>
          <w:tcPr>
            <w:tcW w:type="dxa" w:w="194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Confidentiality</w:t>
            </w:r>
          </w:p>
        </w:tc>
        <w:tc>
          <w:tcPr>
            <w:tcW w:type="dxa" w:w="8136"/>
          </w:tcPr>
          <w:p>
            <w:pPr>
              <w:spacing w:after="20"/>
            </w:pPr>
            <w:r/>
            <w:r>
              <w:rPr>
                <w:sz w:val="19"/>
              </w:rPr>
              <w:t>Findings are confidential and go only to the recipient named in §1.</w:t>
            </w:r>
          </w:p>
        </w:tc>
      </w:tr>
      <w:tr>
        <w:tc>
          <w:tcPr>
            <w:tcW w:type="dxa" w:w="194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Reporting</w:t>
            </w:r>
          </w:p>
        </w:tc>
        <w:tc>
          <w:tcPr>
            <w:tcW w:type="dxa" w:w="8136"/>
          </w:tcPr>
          <w:p>
            <w:pPr>
              <w:spacing w:after="20"/>
            </w:pPr>
            <w:r/>
            <w:r>
              <w:rPr>
                <w:sz w:val="19"/>
              </w:rPr>
              <w:t>Final report within 3–5 working days of scan completion — with a coverage &amp; confidence statement even if nothing is found. Critical/High findings escalated by phone + email within 24 hours.</w:t>
            </w:r>
          </w:p>
        </w:tc>
      </w:tr>
      <w:tr>
        <w:tc>
          <w:tcPr>
            <w:tcW w:type="dxa" w:w="194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Assurance</w:t>
            </w:r>
          </w:p>
        </w:tc>
        <w:tc>
          <w:tcPr>
            <w:tcW w:type="dxa" w:w="8136"/>
          </w:tcPr>
          <w:p>
            <w:pPr>
              <w:spacing w:after="20"/>
            </w:pPr>
            <w:r/>
            <w:r>
              <w:rPr>
                <w:sz w:val="19"/>
              </w:rPr>
              <w:t>A point-in-time assessment — not a guarantee that every vulnerability is found.</w:t>
            </w:r>
          </w:p>
        </w:tc>
      </w:tr>
      <w:tr>
        <w:tc>
          <w:tcPr>
            <w:tcW w:type="dxa" w:w="194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Liability</w:t>
            </w:r>
          </w:p>
        </w:tc>
        <w:tc>
          <w:tcPr>
            <w:tcW w:type="dxa" w:w="8136"/>
          </w:tcPr>
          <w:p>
            <w:pPr>
              <w:spacing w:after="20"/>
            </w:pPr>
            <w:r/>
            <w:r>
              <w:rPr>
                <w:sz w:val="19"/>
              </w:rPr>
              <w:t>Each party's total liability is capped at fees paid, or BDT 10,000, whichever is higher; no indirect or consequential loss. False authorization details (ownership, authority) are the Client's responsibility.</w:t>
            </w:r>
          </w:p>
        </w:tc>
      </w:tr>
      <w:tr>
        <w:tc>
          <w:tcPr>
            <w:tcW w:type="dxa" w:w="194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Termination</w:t>
            </w:r>
          </w:p>
        </w:tc>
        <w:tc>
          <w:tcPr>
            <w:tcW w:type="dxa" w:w="8136"/>
          </w:tcPr>
          <w:p>
            <w:pPr>
              <w:spacing w:after="20"/>
            </w:pPr>
            <w:r/>
            <w:r>
              <w:rPr>
                <w:sz w:val="19"/>
              </w:rPr>
              <w:t>Either party may end this on 7 days' written notice; fees for completed work are non-refundable. Revoking authorization (§5) is always immediate.</w:t>
            </w:r>
          </w:p>
        </w:tc>
      </w:tr>
      <w:tr>
        <w:tc>
          <w:tcPr>
            <w:tcW w:type="dxa" w:w="1944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Governing law</w:t>
            </w:r>
          </w:p>
        </w:tc>
        <w:tc>
          <w:tcPr>
            <w:tcW w:type="dxa" w:w="8136"/>
          </w:tcPr>
          <w:p>
            <w:pPr>
              <w:spacing w:after="20"/>
            </w:pPr>
            <w:r/>
            <w:r>
              <w:rPr>
                <w:sz w:val="19"/>
              </w:rPr>
              <w:t>Bangladesh. A separate arbitration clause is added for international clients.</w:t>
            </w:r>
          </w:p>
        </w:tc>
      </w:tr>
    </w:tbl>
    <w:p>
      <w:pPr>
        <w:spacing w:before="160" w:after="60"/>
      </w:pPr>
      <w:r>
        <w:rPr>
          <w:b/>
          <w:color w:val="C2361A"/>
          <w:sz w:val="23"/>
        </w:rPr>
        <w:t>5.  Authorization &amp; signatures</w:t>
      </w:r>
    </w:p>
    <w:p>
      <w:pPr>
        <w:spacing w:after="60"/>
      </w:pPr>
      <w:r>
        <w:rPr>
          <w:b w:val="0"/>
          <w:i w:val="0"/>
          <w:sz w:val="20"/>
        </w:rPr>
        <w:t>By signing, the Client authorizes Md. Azmol Haque Rony — independent security researcher, operating as "Cindrasec" — to perform the assessment above, and confirms that:</w:t>
      </w:r>
    </w:p>
    <w:p>
      <w:pPr>
        <w:pStyle w:val="ListBullet"/>
        <w:spacing w:after="20"/>
      </w:pPr>
      <w:r>
        <w:rPr>
          <w:sz w:val="19"/>
        </w:rPr>
        <w:t>the signatory has authority to bind the Client;</w:t>
      </w:r>
    </w:p>
    <w:p>
      <w:pPr>
        <w:pStyle w:val="ListBullet"/>
        <w:spacing w:after="20"/>
      </w:pPr>
      <w:r>
        <w:rPr>
          <w:sz w:val="19"/>
        </w:rPr>
        <w:t>the Client owns or lawfully controls every in-scope asset (no third-party permission is needed, or it has been obtained);</w:t>
      </w:r>
    </w:p>
    <w:p>
      <w:pPr>
        <w:pStyle w:val="ListBullet"/>
        <w:spacing w:after="20"/>
      </w:pPr>
      <w:r>
        <w:rPr>
          <w:sz w:val="19"/>
        </w:rPr>
        <w:t>the Client keeps its own backups and change control.</w:t>
      </w:r>
    </w:p>
    <w:p>
      <w:pPr>
        <w:spacing w:after="80"/>
      </w:pPr>
      <w:r>
        <w:rPr>
          <w:b w:val="0"/>
          <w:i/>
          <w:color w:val="555B63"/>
          <w:sz w:val="19"/>
        </w:rPr>
        <w:t>This authorization establishes authorized access under applicable law, including the Bangladesh Cyber Security Ordinance 2025, and is revocable in writing at any time — on revocation all testing stops immediately.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F1F1F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Client</w:t>
            </w:r>
          </w:p>
        </w:tc>
        <w:tc>
          <w:tcPr>
            <w:tcW w:type="dxa" w:w="5040"/>
            <w:shd w:fill="F1F1F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Cindrasec</w:t>
            </w:r>
          </w:p>
        </w:tc>
      </w:tr>
      <w:tr>
        <w:tc>
          <w:tcPr>
            <w:tcW w:type="dxa" w:w="5040"/>
          </w:tcPr>
          <w:p>
            <w:pPr>
              <w:spacing w:after="20"/>
            </w:pPr>
            <w:r/>
            <w:r>
              <w:rPr>
                <w:sz w:val="19"/>
              </w:rPr>
              <w:t>☐ I confirm I am authorized to approve testing of the assets in §2.</w:t>
            </w:r>
          </w:p>
        </w:tc>
        <w:tc>
          <w:tcPr>
            <w:tcW w:type="dxa" w:w="5040"/>
          </w:tcPr>
          <w:p>
            <w:pPr>
              <w:spacing w:after="20"/>
            </w:pPr>
            <w:r/>
            <w:r>
              <w:rPr>
                <w:sz w:val="19"/>
              </w:rPr>
            </w:r>
          </w:p>
        </w:tc>
      </w:tr>
      <w:tr>
        <w:tc>
          <w:tcPr>
            <w:tcW w:type="dxa" w:w="5040"/>
          </w:tcPr>
          <w:p>
            <w:pPr>
              <w:spacing w:after="20"/>
            </w:pPr>
            <w:r/>
            <w:r>
              <w:rPr>
                <w:sz w:val="19"/>
              </w:rPr>
              <w:t>Name ____________________</w:t>
            </w:r>
          </w:p>
        </w:tc>
        <w:tc>
          <w:tcPr>
            <w:tcW w:type="dxa" w:w="5040"/>
          </w:tcPr>
          <w:p>
            <w:pPr>
              <w:spacing w:after="20"/>
            </w:pPr>
            <w:r/>
            <w:r>
              <w:rPr>
                <w:sz w:val="19"/>
              </w:rPr>
              <w:t>Name  Md. Azmol Haque Rony</w:t>
            </w:r>
          </w:p>
        </w:tc>
      </w:tr>
      <w:tr>
        <w:tc>
          <w:tcPr>
            <w:tcW w:type="dxa" w:w="5040"/>
          </w:tcPr>
          <w:p>
            <w:pPr>
              <w:spacing w:after="20"/>
            </w:pPr>
            <w:r/>
            <w:r>
              <w:rPr>
                <w:sz w:val="19"/>
              </w:rPr>
              <w:t>Title ____________________</w:t>
            </w:r>
          </w:p>
        </w:tc>
        <w:tc>
          <w:tcPr>
            <w:tcW w:type="dxa" w:w="5040"/>
          </w:tcPr>
          <w:p>
            <w:pPr>
              <w:spacing w:after="20"/>
            </w:pPr>
            <w:r/>
            <w:r>
              <w:rPr>
                <w:sz w:val="19"/>
              </w:rPr>
              <w:t>Title  Independent Security Researcher — Cindrasec</w:t>
            </w:r>
          </w:p>
        </w:tc>
      </w:tr>
      <w:tr>
        <w:tc>
          <w:tcPr>
            <w:tcW w:type="dxa" w:w="5040"/>
          </w:tcPr>
          <w:p>
            <w:pPr>
              <w:spacing w:after="20"/>
            </w:pPr>
            <w:r/>
            <w:r>
              <w:rPr>
                <w:sz w:val="19"/>
              </w:rPr>
              <w:t>Signature ________________</w:t>
            </w:r>
          </w:p>
        </w:tc>
        <w:tc>
          <w:tcPr>
            <w:tcW w:type="dxa" w:w="5040"/>
          </w:tcPr>
          <w:p>
            <w:pPr>
              <w:spacing w:after="20"/>
            </w:pPr>
            <w:r/>
            <w:r>
              <w:rPr>
                <w:sz w:val="19"/>
              </w:rPr>
              <w:t>Signature ________________</w:t>
            </w:r>
          </w:p>
        </w:tc>
      </w:tr>
      <w:tr>
        <w:tc>
          <w:tcPr>
            <w:tcW w:type="dxa" w:w="5040"/>
          </w:tcPr>
          <w:p>
            <w:pPr>
              <w:spacing w:after="20"/>
            </w:pPr>
            <w:r/>
            <w:r>
              <w:rPr>
                <w:sz w:val="19"/>
              </w:rPr>
              <w:t>Date ____________</w:t>
            </w:r>
          </w:p>
        </w:tc>
        <w:tc>
          <w:tcPr>
            <w:tcW w:type="dxa" w:w="5040"/>
          </w:tcPr>
          <w:p>
            <w:pPr>
              <w:spacing w:after="20"/>
            </w:pPr>
            <w:r/>
            <w:r>
              <w:rPr>
                <w:sz w:val="19"/>
              </w:rPr>
              <w:t>Date ____________</w:t>
            </w:r>
          </w:p>
        </w:tc>
      </w:tr>
    </w:tbl>
    <w:p>
      <w:pPr>
        <w:spacing w:before="120"/>
      </w:pPr>
      <w:r>
        <w:rPr>
          <w:i/>
          <w:color w:val="555B63"/>
          <w:sz w:val="17"/>
        </w:rPr>
        <w:t>Draft template — have a lawyer review before the first paid engagement, and always for international clients. Not legal advice.</w:t>
      </w:r>
    </w:p>
    <w:sectPr w:rsidR="00FC693F" w:rsidRPr="0006063C" w:rsidSect="00034616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